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266E20" w:rsidRPr="00266E20" w14:paraId="5FA3A601" w14:textId="77777777" w:rsidTr="00266E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47ADD81" w14:textId="77777777" w:rsidR="00266E20" w:rsidRPr="00266E20" w:rsidRDefault="00266E20" w:rsidP="002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66E20"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es-CL"/>
              </w:rPr>
              <w:t xml:space="preserve">Para asegurar la entrega de </w:t>
            </w:r>
            <w:proofErr w:type="gramStart"/>
            <w:r w:rsidRPr="00266E20"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es-CL"/>
              </w:rPr>
              <w:t>nuestros e-mail</w:t>
            </w:r>
            <w:proofErr w:type="gramEnd"/>
            <w:r w:rsidRPr="00266E20"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es-CL"/>
              </w:rPr>
              <w:t xml:space="preserve"> en su correo, por favor agregue</w:t>
            </w:r>
            <w:r w:rsidRPr="00266E20">
              <w:rPr>
                <w:rFonts w:ascii="Arial" w:eastAsia="Times New Roman" w:hAnsi="Arial" w:cs="Arial"/>
                <w:color w:val="666666"/>
                <w:sz w:val="12"/>
                <w:szCs w:val="12"/>
                <w:shd w:val="clear" w:color="auto" w:fill="FFFFFF"/>
                <w:lang w:eastAsia="es-CL"/>
              </w:rPr>
              <w:t> </w:t>
            </w:r>
            <w:r w:rsidRPr="00266E20">
              <w:rPr>
                <w:rFonts w:ascii="Arial" w:eastAsia="Times New Roman" w:hAnsi="Arial" w:cs="Arial"/>
                <w:color w:val="0073AE"/>
                <w:sz w:val="12"/>
                <w:szCs w:val="12"/>
                <w:shd w:val="clear" w:color="auto" w:fill="FFFFFF"/>
                <w:lang w:eastAsia="es-CL"/>
              </w:rPr>
              <w:t>instituto@iimch.cl </w:t>
            </w:r>
            <w:r w:rsidRPr="00266E20"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es-CL"/>
              </w:rPr>
              <w:t>a su libreta de direcciones de correo</w:t>
            </w:r>
            <w:r w:rsidRPr="00266E20">
              <w:rPr>
                <w:rFonts w:ascii="Arial" w:eastAsia="Times New Roman" w:hAnsi="Arial" w:cs="Arial"/>
                <w:color w:val="666666"/>
                <w:sz w:val="12"/>
                <w:szCs w:val="12"/>
                <w:shd w:val="clear" w:color="auto" w:fill="FFFFFF"/>
                <w:lang w:eastAsia="es-CL"/>
              </w:rPr>
              <w:t>.</w:t>
            </w:r>
            <w:r w:rsidRPr="00266E20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CL"/>
              </w:rPr>
              <w:br/>
            </w:r>
            <w:r w:rsidRPr="00266E20">
              <w:rPr>
                <w:rFonts w:ascii="Arial" w:eastAsia="Times New Roman" w:hAnsi="Arial" w:cs="Arial"/>
                <w:sz w:val="12"/>
                <w:szCs w:val="12"/>
                <w:shd w:val="clear" w:color="auto" w:fill="FFFFFF"/>
                <w:lang w:eastAsia="es-CL"/>
              </w:rPr>
              <w:t>Si usted no visualiza bien este mail, haga</w:t>
            </w:r>
            <w:r w:rsidRPr="00266E20">
              <w:rPr>
                <w:rFonts w:ascii="Arial" w:eastAsia="Times New Roman" w:hAnsi="Arial" w:cs="Arial"/>
                <w:color w:val="666666"/>
                <w:sz w:val="12"/>
                <w:szCs w:val="12"/>
                <w:shd w:val="clear" w:color="auto" w:fill="FFFFFF"/>
                <w:lang w:eastAsia="es-CL"/>
              </w:rPr>
              <w:t> </w:t>
            </w:r>
            <w:proofErr w:type="spellStart"/>
            <w:r w:rsidRPr="00266E20">
              <w:rPr>
                <w:rFonts w:ascii="Arial" w:eastAsia="Times New Roman" w:hAnsi="Arial" w:cs="Arial"/>
                <w:sz w:val="12"/>
                <w:szCs w:val="12"/>
                <w:lang w:eastAsia="es-CL"/>
              </w:rPr>
              <w:fldChar w:fldCharType="begin"/>
            </w:r>
            <w:r w:rsidRPr="00266E20">
              <w:rPr>
                <w:rFonts w:ascii="Arial" w:eastAsia="Times New Roman" w:hAnsi="Arial" w:cs="Arial"/>
                <w:sz w:val="12"/>
                <w:szCs w:val="12"/>
                <w:lang w:eastAsia="es-CL"/>
              </w:rPr>
              <w:instrText xml:space="preserve"> HYPERLINK "https://g1.admin.masterbase.com/mail2/v40.49735/iimchmktcl/mail/create" \l "!webview!#" </w:instrText>
            </w:r>
            <w:r w:rsidRPr="00266E20">
              <w:rPr>
                <w:rFonts w:ascii="Arial" w:eastAsia="Times New Roman" w:hAnsi="Arial" w:cs="Arial"/>
                <w:sz w:val="12"/>
                <w:szCs w:val="12"/>
                <w:lang w:eastAsia="es-CL"/>
              </w:rPr>
              <w:fldChar w:fldCharType="separate"/>
            </w:r>
            <w:r w:rsidRPr="00266E20"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es-CL"/>
              </w:rPr>
              <w:t>click</w:t>
            </w:r>
            <w:proofErr w:type="spellEnd"/>
            <w:r w:rsidRPr="00266E20">
              <w:rPr>
                <w:rFonts w:ascii="Arial" w:eastAsia="Times New Roman" w:hAnsi="Arial" w:cs="Arial"/>
                <w:color w:val="0000FF"/>
                <w:sz w:val="12"/>
                <w:szCs w:val="12"/>
                <w:u w:val="single"/>
                <w:lang w:eastAsia="es-CL"/>
              </w:rPr>
              <w:t xml:space="preserve"> aquí</w:t>
            </w:r>
            <w:r w:rsidRPr="00266E20">
              <w:rPr>
                <w:rFonts w:ascii="Arial" w:eastAsia="Times New Roman" w:hAnsi="Arial" w:cs="Arial"/>
                <w:sz w:val="12"/>
                <w:szCs w:val="12"/>
                <w:lang w:eastAsia="es-CL"/>
              </w:rPr>
              <w:fldChar w:fldCharType="end"/>
            </w:r>
          </w:p>
          <w:p w14:paraId="289084F7" w14:textId="77777777" w:rsidR="00266E20" w:rsidRPr="00266E20" w:rsidRDefault="00266E20" w:rsidP="002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B49CF2C" w14:textId="7A67C211" w:rsidR="00266E20" w:rsidRPr="00266E20" w:rsidRDefault="00266E20" w:rsidP="002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266E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EB86EAE" wp14:editId="65B8B795">
                  <wp:extent cx="5612130" cy="2151380"/>
                  <wp:effectExtent l="0" t="0" r="7620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15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9DA3D9" w14:textId="77777777" w:rsidR="00266E20" w:rsidRPr="00266E20" w:rsidRDefault="00266E20" w:rsidP="0026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24245CF7" w14:textId="77777777" w:rsidR="00266E20" w:rsidRPr="00266E20" w:rsidRDefault="00266E20" w:rsidP="00266E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tbl>
      <w:tblPr>
        <w:tblW w:w="90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266E20" w:rsidRPr="00266E20" w14:paraId="6BEB02C8" w14:textId="77777777" w:rsidTr="00266E2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20F3916" w14:textId="77777777" w:rsidR="00266E20" w:rsidRPr="00266E20" w:rsidRDefault="00266E20" w:rsidP="002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tbl>
            <w:tblPr>
              <w:tblW w:w="88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35"/>
            </w:tblGrid>
            <w:tr w:rsidR="00266E20" w:rsidRPr="00266E20" w14:paraId="3D7AB70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7"/>
                  </w:tblGrid>
                  <w:tr w:rsidR="00266E20" w:rsidRPr="00266E20" w14:paraId="5C84B77A" w14:textId="77777777">
                    <w:trPr>
                      <w:tblCellSpacing w:w="0" w:type="dxa"/>
                    </w:trPr>
                    <w:tc>
                      <w:tcPr>
                        <w:tcW w:w="1071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7"/>
                        </w:tblGrid>
                        <w:tr w:rsidR="00266E20" w:rsidRPr="00266E20" w14:paraId="281F39DC" w14:textId="77777777" w:rsidTr="00266E20">
                          <w:trPr>
                            <w:tblCellSpacing w:w="0" w:type="dxa"/>
                          </w:trPr>
                          <w:tc>
                            <w:tcPr>
                              <w:tcW w:w="1071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7"/>
                              </w:tblGrid>
                              <w:tr w:rsidR="00266E20" w:rsidRPr="00266E20" w14:paraId="39BF2564" w14:textId="77777777" w:rsidTr="00266E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71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77"/>
                                    </w:tblGrid>
                                    <w:tr w:rsidR="00266E20" w:rsidRPr="00266E20" w14:paraId="3C90D2F2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710" w:type="dxa"/>
                                          <w:vAlign w:val="center"/>
                                          <w:hideMark/>
                                        </w:tcPr>
                                        <w:p w14:paraId="3D0DD42A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56911A8F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Estimados colegas,</w:t>
                                          </w:r>
                                        </w:p>
                                        <w:p w14:paraId="17B4CED9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0E7007B8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La responsabilidad de una administración (y específicamente ésta en que soy Presidente) se termina el día en que haga el traspaso de mando a la nueva administración (la electa, presidida por Marco ALFARO), razón por la cual retomo el tema Estatutos del IIMCh, que es una preocupación que se arrastra de años en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mi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, y apoyé las revisiones últimas del 2019 (Juan Pablo </w:t>
                                          </w:r>
                                          <w:proofErr w:type="gram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GONZÁLEZ)  y</w:t>
                                          </w:r>
                                          <w:proofErr w:type="gram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del 2021 (Juan RAYO P.).  Espero que esta última del 2021 ya sancionada en Junta, se formalice con la autoridad a la brevedad (la Municipalidad de Las Condes, encargada de esto por el Ministerio de Justicia, que nos controla a nivel país).</w:t>
                                          </w:r>
                                        </w:p>
                                        <w:p w14:paraId="7AE4C9C0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361CB586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Dado lo anterior, es importante “iniciar un proceso de trabajo para mejorar nuestra carta fundamental”, y avanzar posteriormente en los reglamentos, pues o no todos están en texto (caso del Reglamento de Ética y del Reglamento de Conducta, que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aun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no existen), o simplemente eliminar las inconsistencias y superar </w:t>
                                          </w:r>
                                          <w:proofErr w:type="gram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los déficit</w:t>
                                          </w:r>
                                          <w:proofErr w:type="gram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(caso del Reglamento de Elecciones), que los hay y que se han ido detectando con su uso y aplicación en el devenir diario de nuestra organización.</w:t>
                                          </w:r>
                                        </w:p>
                                        <w:p w14:paraId="066CA96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11AA9D99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Por lo anterior, pongo a vuestra disposición una proposición de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“Estatutos del IIMCh”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(10 títulos, 56 artículos y 36 páginas), que se adjunta a esta nota (solo la parte Estatutos; se excluye los reglamentos, que se verán después), para mejorar vía ir adecuando de a poco el texto, entre todos (agregar, borrar, modificar), para que los que puedan y tengan las habilidades, el conocimiento y además de un real interés, envíen sus sugerencias generales o particulares, y también propongan los cambios que les parezca atinentes al email “</w:t>
                                          </w:r>
                                          <w:hyperlink r:id="rId5" w:history="1">
                                            <w:r w:rsidRPr="00266E20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es-CL"/>
                                              </w:rPr>
                                              <w:t>estatutos2024@iimch.cl</w:t>
                                            </w:r>
                                          </w:hyperlink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”, para que ojalá finalmente lleguemos a un texto de consenso y tengamos una reglamentación que la mayoría comparta, la que debe ser en lo posible robusta y coherente entre los distintos cuerpos reguladores de nuestro accionar.</w:t>
                                          </w:r>
                                        </w:p>
                                        <w:p w14:paraId="596CA244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3799E092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Espero haya alta participación de los socios, favor atreverse, y enviarme lo que estimen apropiado para ir adecuándola para ir realizando hasta lograr un texto que concite consenso en el detalle; estaré atento para trabajarla yo mismo en esta primera fase (este mes de vacaciones, que creo apropiado pues no se tiene responsabilidades laborales y se le puede dedicar tiempo).</w:t>
                                          </w:r>
                                        </w:p>
                                        <w:p w14:paraId="25492106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0184B0CF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lastRenderedPageBreak/>
                                            <w:t>Para evitar eternizarse, la idea es ir avanzando de a poco, aprobando por capítulos, desde el “Título 1 fundacional” hasta el “Título 10 que regula la disolución”. Ver detalle a continuación:</w:t>
                                          </w:r>
                                        </w:p>
                                        <w:p w14:paraId="5A7FAF9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PRIMERO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(Art1 y Art2, pág2 y 3):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Del Instituto, Nombre, Domicilio, Duración, Número de Miembros y Finalidades</w:t>
                                          </w:r>
                                        </w:p>
                                        <w:p w14:paraId="6F7F3A9F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SEGUNDO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(Art19, pág4 a 12):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Del Accionar del IIMCh y de sus Miembros</w:t>
                                          </w:r>
                                        </w:p>
                                        <w:p w14:paraId="7EF8CF1B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TERCERO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(Art20 a 22,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13):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 las Cuotas</w:t>
                                          </w:r>
                                        </w:p>
                                        <w:p w14:paraId="2A2E4E00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CUARTO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(Art23 a 31,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14 a 17)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: De las Juntas Generales</w:t>
                                          </w:r>
                                        </w:p>
                                        <w:p w14:paraId="4D730DF9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QUINTO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(Art32 a 47,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18 a 28):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Del Directorio</w:t>
                                          </w:r>
                                        </w:p>
                                        <w:p w14:paraId="51EBD73B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SEXTO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 48 a 51,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29 a 31):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 Del </w:t>
                                          </w:r>
                                          <w:proofErr w:type="gram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Presidente</w:t>
                                          </w:r>
                                          <w:proofErr w:type="gram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, Vicepresidente, Director Secretario y Director Tesorero</w:t>
                                          </w:r>
                                        </w:p>
                                        <w:p w14:paraId="5FACE11A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SÉPTIMO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(Art52bis,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32 y 33):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 la remoción del Directorio o sus miembros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.</w:t>
                                          </w:r>
                                        </w:p>
                                        <w:p w14:paraId="06448727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OCTAVO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 53 a 55,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34)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: De los Núcleos del IIMCh</w:t>
                                          </w:r>
                                        </w:p>
                                        <w:p w14:paraId="0E019B7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NOVENO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(Art56 y 57,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35):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 la Reforma de los Estatutos</w:t>
                                          </w:r>
                                        </w:p>
                                        <w:p w14:paraId="6EB50155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TÍTULO DECIMO 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(Art58 y 59, </w:t>
                                          </w:r>
                                          <w:proofErr w:type="spell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pág</w:t>
                                          </w:r>
                                          <w:proofErr w:type="spellEnd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 36):</w:t>
                                          </w: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 De la Disolución del Instituto</w:t>
                                          </w:r>
                                        </w:p>
                                        <w:p w14:paraId="31011E6E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12F921E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 xml:space="preserve">Conforme a lo indicado, les informo que llamaré a una Junta Extraordinaria para el día Jueves 07Marzo, para consensuar y continuar con esta labor, de tal forma de lograr, finalmente, “un acta basal que nos regule” más allá de las administraciones sucesivas, que somos, al final de cuentas, “aves de </w:t>
                                          </w:r>
                                          <w:proofErr w:type="gramStart"/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paso”…</w:t>
                                          </w:r>
                                          <w:proofErr w:type="gramEnd"/>
                                        </w:p>
                                        <w:p w14:paraId="7A9565E3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5072BBA9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hyperlink r:id="rId6" w:history="1">
                                            <w:r w:rsidRPr="00266E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30"/>
                                                <w:szCs w:val="30"/>
                                                <w:u w:val="single"/>
                                                <w:shd w:val="clear" w:color="auto" w:fill="FF8C00"/>
                                                <w:lang w:eastAsia="es-CL"/>
                                              </w:rPr>
                                              <w:t>Descargar doc</w:t>
                                            </w:r>
                                            <w:r w:rsidRPr="00266E20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FF"/>
                                                <w:sz w:val="30"/>
                                                <w:szCs w:val="30"/>
                                                <w:u w:val="single"/>
                                                <w:shd w:val="clear" w:color="auto" w:fill="FF8C00"/>
                                                <w:lang w:eastAsia="es-CL"/>
                                              </w:rPr>
                                              <w:t>umento</w:t>
                                            </w:r>
                                          </w:hyperlink>
                                        </w:p>
                                        <w:p w14:paraId="5C962885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079D6643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3C68DA0D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Atentamente,</w:t>
                                          </w:r>
                                        </w:p>
                                        <w:p w14:paraId="1D820A07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  <w:p w14:paraId="20C77833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Sergio DEMETRIO</w:t>
                                          </w:r>
                                        </w:p>
                                        <w:p w14:paraId="1F5B0536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Presidente IIMCh</w:t>
                                          </w:r>
                                        </w:p>
                                        <w:p w14:paraId="01E3A37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hyperlink r:id="rId7" w:history="1">
                                            <w:r w:rsidRPr="00266E20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es-CL"/>
                                              </w:rPr>
                                              <w:t>Sergio.demetrioj@gmail.com</w:t>
                                            </w:r>
                                          </w:hyperlink>
                                        </w:p>
                                        <w:p w14:paraId="1501C9B8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hyperlink r:id="rId8" w:history="1">
                                            <w:r w:rsidRPr="00266E20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es-CL"/>
                                              </w:rPr>
                                              <w:t>Sergio.demetrioj@iimch.cl</w:t>
                                            </w:r>
                                          </w:hyperlink>
                                        </w:p>
                                        <w:p w14:paraId="00A45D02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  <w:r w:rsidRPr="00266E20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eastAsia="es-CL"/>
                                            </w:rPr>
                                            <w:t>Celular +56 9 79798980</w:t>
                                          </w:r>
                                        </w:p>
                                      </w:tc>
                                    </w:tr>
                                    <w:tr w:rsidR="00266E20" w:rsidRPr="00266E20" w14:paraId="699BBBF3" w14:textId="77777777">
                                      <w:trPr>
                                        <w:trHeight w:val="55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0710" w:type="dxa"/>
                                          <w:vAlign w:val="center"/>
                                          <w:hideMark/>
                                        </w:tcPr>
                                        <w:p w14:paraId="1AF950C1" w14:textId="77777777" w:rsidR="00266E20" w:rsidRPr="00266E20" w:rsidRDefault="00266E20" w:rsidP="00266E2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s-C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6865031" w14:textId="77777777" w:rsidR="00266E20" w:rsidRPr="00266E20" w:rsidRDefault="00266E20" w:rsidP="00266E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s-C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0A5301" w14:textId="77777777" w:rsidR="00266E20" w:rsidRPr="00266E20" w:rsidRDefault="00266E20" w:rsidP="00266E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s-CL"/>
                                </w:rPr>
                              </w:pPr>
                            </w:p>
                          </w:tc>
                        </w:tr>
                      </w:tbl>
                      <w:p w14:paraId="50FB875C" w14:textId="77777777" w:rsidR="00266E20" w:rsidRPr="00266E20" w:rsidRDefault="00266E20" w:rsidP="00266E2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A7FA21A" w14:textId="77777777" w:rsidR="00266E20" w:rsidRPr="00266E20" w:rsidRDefault="00266E20" w:rsidP="00266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7CC83DA" w14:textId="77777777" w:rsidR="00266E20" w:rsidRPr="00266E20" w:rsidRDefault="00266E20" w:rsidP="0026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14:paraId="5DFC8184" w14:textId="77777777" w:rsidR="007A6F88" w:rsidRDefault="007A6F88"/>
    <w:sectPr w:rsidR="007A6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20"/>
    <w:rsid w:val="00266E20"/>
    <w:rsid w:val="007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99C6"/>
  <w15:chartTrackingRefBased/>
  <w15:docId w15:val="{7AD6F733-53F0-423D-B7FE-F04A57A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66E2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4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demetrioj@iimch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io.demetrio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mch.cl/images/2024/Documentos/Proposicion%20de%20Revision%20de%20los%20%20Estatutos%20del%20IIMCh%20-%20Enero%202024.docx" TargetMode="External"/><Relationship Id="rId5" Type="http://schemas.openxmlformats.org/officeDocument/2006/relationships/hyperlink" Target="mailto:estatutos2024@iimch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2024-03-04T16:09:00Z</dcterms:created>
  <dcterms:modified xsi:type="dcterms:W3CDTF">2024-03-04T16:10:00Z</dcterms:modified>
</cp:coreProperties>
</file>